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41144" w14:textId="77777777" w:rsidR="000A3E10" w:rsidRDefault="000A3E10" w:rsidP="000A3E10">
      <w:pPr>
        <w:pStyle w:val="Heading3"/>
      </w:pPr>
      <w:bookmarkStart w:id="0" w:name="_Toc202185898"/>
      <w:r>
        <w:t>L1 – E-teed – European Agreement on Main International Traffic Arteries (AGR)</w:t>
      </w:r>
      <w:bookmarkEnd w:id="0"/>
    </w:p>
    <w:p w14:paraId="1B971BE5" w14:textId="77777777" w:rsidR="000A3E10" w:rsidRDefault="000A3E10" w:rsidP="000A3E10">
      <w:r>
        <w:t>UN Economic and Social Council, Economic Commission of Europe, Inland Transport Committee</w:t>
      </w:r>
    </w:p>
    <w:p w14:paraId="0F15F0E4" w14:textId="77777777" w:rsidR="000A3E10" w:rsidRDefault="000A3E10" w:rsidP="000A3E10">
      <w:pPr>
        <w:pStyle w:val="Heading4"/>
      </w:pPr>
      <w:r w:rsidRPr="00A36582">
        <w:rPr>
          <w:highlight w:val="yellow"/>
        </w:rPr>
        <w:t>L1.1 E-teede võrgustik Eestis ja nõuded (AGR-leping), lisa I</w:t>
      </w:r>
    </w:p>
    <w:p w14:paraId="57C7265B" w14:textId="77777777" w:rsidR="000A3E10" w:rsidRPr="00B11155" w:rsidRDefault="000A3E10" w:rsidP="000A3E10">
      <w:r w:rsidRPr="00B11155">
        <w:rPr>
          <w:lang w:val="en-US"/>
        </w:rPr>
        <w:t xml:space="preserve"> European Agreement on Main International Traffic Arteries (AGR)</w:t>
      </w:r>
    </w:p>
    <w:p w14:paraId="0E174E7F" w14:textId="77777777" w:rsidR="000A3E10" w:rsidRDefault="000A3E10" w:rsidP="000A3E10">
      <w:pPr>
        <w:pStyle w:val="ListParagraph"/>
        <w:numPr>
          <w:ilvl w:val="0"/>
          <w:numId w:val="1"/>
        </w:numPr>
      </w:pPr>
      <w:r>
        <w:t>E20 – Iirimaalt (Shannon) Peterburi, meil siis Tallinn-Narva lõik, eelneb meretee Stockholmist. See on mõneti erandlik tee, sest Hulli (UK) ja Esbjergi (NO) vahel puudub autosid vedava laeva ühendus</w:t>
      </w:r>
    </w:p>
    <w:p w14:paraId="2F2B2505" w14:textId="77777777" w:rsidR="000A3E10" w:rsidRDefault="000A3E10" w:rsidP="000A3E10">
      <w:pPr>
        <w:pStyle w:val="ListParagraph"/>
        <w:numPr>
          <w:ilvl w:val="0"/>
          <w:numId w:val="1"/>
        </w:numPr>
      </w:pPr>
      <w:r>
        <w:t>E67 – Tallinnast Varssavini Via Baltica nime all, kuid edasi Prahani, meil Tallinn-Ikla (algus Helsingist meretee)</w:t>
      </w:r>
    </w:p>
    <w:p w14:paraId="25380437" w14:textId="77777777" w:rsidR="000A3E10" w:rsidRDefault="000A3E10" w:rsidP="000A3E10">
      <w:pPr>
        <w:pStyle w:val="ListParagraph"/>
        <w:numPr>
          <w:ilvl w:val="0"/>
          <w:numId w:val="1"/>
        </w:numPr>
      </w:pPr>
      <w:r>
        <w:t>E77 – Pihkvast Budapesti, meil Luhamaa-Murati lühike lõik ajaloolisest Riia-Pihkva kiviteest. Huvipakkuv on asjaolu, et lühima trassi asemel kulgeb tee Riiast üle Kaliningradi (Königsbergi) ja Gdanski Varssavi ja Krakovi kaudu Ungarisse</w:t>
      </w:r>
    </w:p>
    <w:p w14:paraId="71066BD3" w14:textId="77777777" w:rsidR="000A3E10" w:rsidRDefault="000A3E10" w:rsidP="000A3E10">
      <w:pPr>
        <w:pStyle w:val="ListParagraph"/>
        <w:numPr>
          <w:ilvl w:val="0"/>
          <w:numId w:val="1"/>
        </w:numPr>
      </w:pPr>
      <w:r>
        <w:t>E263 – Tallinn-Tartu-Võru-Luhamaa, algab Viru väljakult ja lõpeb E77 ristumisel</w:t>
      </w:r>
    </w:p>
    <w:p w14:paraId="1E63602F" w14:textId="77777777" w:rsidR="000A3E10" w:rsidRDefault="000A3E10" w:rsidP="000A3E10">
      <w:pPr>
        <w:pStyle w:val="ListParagraph"/>
        <w:numPr>
          <w:ilvl w:val="0"/>
          <w:numId w:val="1"/>
        </w:numPr>
      </w:pPr>
      <w:r>
        <w:t>E264 – Jõhvi-Tartu-Valga, mis lõpeb Lätis Incukalnsis</w:t>
      </w:r>
    </w:p>
    <w:p w14:paraId="656DBF84" w14:textId="77777777" w:rsidR="000A3E10" w:rsidRDefault="000A3E10" w:rsidP="000A3E10">
      <w:pPr>
        <w:pStyle w:val="ListParagraph"/>
        <w:numPr>
          <w:ilvl w:val="0"/>
          <w:numId w:val="1"/>
        </w:numPr>
      </w:pPr>
      <w:r>
        <w:t>E265 – Tallinna ringtee-Paldiski (jätkub mereteed Kapellskärini)</w:t>
      </w:r>
    </w:p>
    <w:p w14:paraId="3E591FFE" w14:textId="77777777" w:rsidR="000A3E10" w:rsidRDefault="000A3E10" w:rsidP="000A3E10">
      <w:pPr>
        <w:rPr>
          <w:b/>
          <w:bCs/>
        </w:rPr>
      </w:pPr>
      <w:r>
        <w:rPr>
          <w:b/>
          <w:bCs/>
        </w:rPr>
        <w:t>Otseselt kirjeldab leping teid vastavalt süsteemselt:</w:t>
      </w:r>
    </w:p>
    <w:p w14:paraId="7C2D2278" w14:textId="77777777" w:rsidR="000A3E10" w:rsidRPr="00736907" w:rsidRDefault="000A3E10" w:rsidP="000A3E10">
      <w:pPr>
        <w:rPr>
          <w:b/>
          <w:bCs/>
        </w:rPr>
      </w:pPr>
      <w:r w:rsidRPr="00736907">
        <w:rPr>
          <w:b/>
          <w:bCs/>
        </w:rPr>
        <w:t>Main Roads:</w:t>
      </w:r>
    </w:p>
    <w:p w14:paraId="6A905592" w14:textId="77777777" w:rsidR="000A3E10" w:rsidRDefault="000A3E10" w:rsidP="000A3E10">
      <w:r>
        <w:t>West-East</w:t>
      </w:r>
    </w:p>
    <w:p w14:paraId="3E2FA52B" w14:textId="77777777" w:rsidR="000A3E10" w:rsidRPr="00CB3E47" w:rsidRDefault="000A3E10" w:rsidP="000A3E10">
      <w:pPr>
        <w:pStyle w:val="ListParagraph"/>
        <w:numPr>
          <w:ilvl w:val="0"/>
          <w:numId w:val="2"/>
        </w:numPr>
        <w:rPr>
          <w:rFonts w:eastAsiaTheme="majorEastAsia" w:cstheme="majorBidi"/>
          <w:color w:val="0F4761" w:themeColor="accent1" w:themeShade="BF"/>
          <w:sz w:val="28"/>
          <w:szCs w:val="28"/>
        </w:rPr>
      </w:pPr>
      <w:r>
        <w:t xml:space="preserve"> reference roads: </w:t>
      </w:r>
      <w:r w:rsidRPr="00736907">
        <w:rPr>
          <w:b/>
          <w:bCs/>
        </w:rPr>
        <w:t>E20</w:t>
      </w:r>
      <w:r>
        <w:t xml:space="preserve"> [</w:t>
      </w:r>
      <w:r w:rsidRPr="00CB3E47">
        <w:t xml:space="preserve">Shannon - Limerick - Portlaoise - Dublin ... Liverpool - Manchester - Bradford - Leeds - Hull ... Esbjerg - Kolding - Middelfart - Odense - Korsør-Køge - København - Malmö - Helsingborg - Halmstad – Göteborg - Orebro - Arboga - Eskilstuna - Södertälje - </w:t>
      </w:r>
      <w:r w:rsidRPr="00722E90">
        <w:rPr>
          <w:color w:val="EE0000"/>
        </w:rPr>
        <w:t>Stockholm Tallin - St. Petersburg</w:t>
      </w:r>
      <w:r>
        <w:t>] (täiskümned, E10...E90)</w:t>
      </w:r>
    </w:p>
    <w:p w14:paraId="44E04860" w14:textId="77777777" w:rsidR="000A3E10" w:rsidRPr="00CB3E47" w:rsidRDefault="000A3E10" w:rsidP="000A3E10">
      <w:pPr>
        <w:pStyle w:val="ListParagraph"/>
        <w:numPr>
          <w:ilvl w:val="0"/>
          <w:numId w:val="2"/>
        </w:numPr>
        <w:rPr>
          <w:rFonts w:eastAsiaTheme="majorEastAsia" w:cstheme="majorBidi"/>
          <w:color w:val="0F4761" w:themeColor="accent1" w:themeShade="BF"/>
          <w:sz w:val="28"/>
          <w:szCs w:val="28"/>
        </w:rPr>
      </w:pPr>
      <w:r>
        <w:t>Intermediate roads: (paarisnumbrid kuni E98)</w:t>
      </w:r>
    </w:p>
    <w:p w14:paraId="6B4557F9" w14:textId="77777777" w:rsidR="000A3E10" w:rsidRDefault="000A3E10" w:rsidP="000A3E10">
      <w:r>
        <w:t>North-South</w:t>
      </w:r>
    </w:p>
    <w:p w14:paraId="5E4CE823" w14:textId="77777777" w:rsidR="000A3E10" w:rsidRDefault="000A3E10" w:rsidP="000A3E10">
      <w:pPr>
        <w:pStyle w:val="ListParagraph"/>
        <w:numPr>
          <w:ilvl w:val="0"/>
          <w:numId w:val="3"/>
        </w:numPr>
      </w:pPr>
      <w:r>
        <w:t>Reference roads: E05...E95 (täisviielised) ja 101, 105, 115, 117, 119, 121, 123</w:t>
      </w:r>
    </w:p>
    <w:p w14:paraId="47726A25" w14:textId="77777777" w:rsidR="000A3E10" w:rsidRDefault="000A3E10" w:rsidP="000A3E10">
      <w:pPr>
        <w:pStyle w:val="ListParagraph"/>
        <w:numPr>
          <w:ilvl w:val="0"/>
          <w:numId w:val="3"/>
        </w:numPr>
      </w:pPr>
      <w:r>
        <w:t xml:space="preserve">Intermediate roads: </w:t>
      </w:r>
      <w:r w:rsidRPr="00736907">
        <w:rPr>
          <w:b/>
          <w:bCs/>
        </w:rPr>
        <w:t>E67</w:t>
      </w:r>
      <w:r>
        <w:t xml:space="preserve"> [</w:t>
      </w:r>
      <w:r w:rsidRPr="00722E90">
        <w:rPr>
          <w:color w:val="EE0000"/>
        </w:rPr>
        <w:t xml:space="preserve">Helsinki - Tallinn – Riga </w:t>
      </w:r>
      <w:r>
        <w:t xml:space="preserve">- </w:t>
      </w:r>
      <w:proofErr w:type="spellStart"/>
      <w:r w:rsidRPr="00736907">
        <w:rPr>
          <w:lang w:val="en-US"/>
        </w:rPr>
        <w:t>Panevėžys</w:t>
      </w:r>
      <w:proofErr w:type="spellEnd"/>
      <w:r w:rsidRPr="00736907">
        <w:rPr>
          <w:lang w:val="en-US"/>
        </w:rPr>
        <w:t xml:space="preserve"> </w:t>
      </w:r>
      <w:r>
        <w:rPr>
          <w:lang w:val="en-US"/>
        </w:rPr>
        <w:t xml:space="preserve">– Kaunas – Warszawa - </w:t>
      </w:r>
      <w:proofErr w:type="spellStart"/>
      <w:r w:rsidRPr="00736907">
        <w:rPr>
          <w:lang w:val="en-US"/>
        </w:rPr>
        <w:t>Piotrków</w:t>
      </w:r>
      <w:proofErr w:type="spellEnd"/>
      <w:r w:rsidRPr="00736907">
        <w:rPr>
          <w:lang w:val="en-US"/>
        </w:rPr>
        <w:t xml:space="preserve"> Trybunalski - </w:t>
      </w:r>
      <w:proofErr w:type="spellStart"/>
      <w:r w:rsidRPr="00736907">
        <w:rPr>
          <w:lang w:val="en-US"/>
        </w:rPr>
        <w:t>Wrocław</w:t>
      </w:r>
      <w:proofErr w:type="spellEnd"/>
      <w:r w:rsidRPr="00736907">
        <w:rPr>
          <w:lang w:val="en-US"/>
        </w:rPr>
        <w:t xml:space="preserve"> - </w:t>
      </w:r>
      <w:proofErr w:type="spellStart"/>
      <w:r w:rsidRPr="00736907">
        <w:rPr>
          <w:lang w:val="en-US"/>
        </w:rPr>
        <w:t>Kłodzko</w:t>
      </w:r>
      <w:proofErr w:type="spellEnd"/>
      <w:r w:rsidRPr="00736907">
        <w:rPr>
          <w:lang w:val="en-US"/>
        </w:rPr>
        <w:t xml:space="preserve"> - </w:t>
      </w:r>
      <w:proofErr w:type="spellStart"/>
      <w:r w:rsidRPr="00736907">
        <w:rPr>
          <w:lang w:val="en-US"/>
        </w:rPr>
        <w:t>Běloves</w:t>
      </w:r>
      <w:proofErr w:type="spellEnd"/>
      <w:r w:rsidRPr="00736907">
        <w:rPr>
          <w:lang w:val="en-US"/>
        </w:rPr>
        <w:t xml:space="preserve"> - </w:t>
      </w:r>
      <w:proofErr w:type="spellStart"/>
      <w:r w:rsidRPr="00736907">
        <w:rPr>
          <w:lang w:val="en-US"/>
        </w:rPr>
        <w:t>Náchod</w:t>
      </w:r>
      <w:proofErr w:type="spellEnd"/>
      <w:r w:rsidRPr="00736907">
        <w:rPr>
          <w:lang w:val="en-US"/>
        </w:rPr>
        <w:t xml:space="preserve"> - Hradec </w:t>
      </w:r>
      <w:proofErr w:type="spellStart"/>
      <w:r w:rsidRPr="00736907">
        <w:rPr>
          <w:lang w:val="en-US"/>
        </w:rPr>
        <w:t>Kralové</w:t>
      </w:r>
      <w:proofErr w:type="spellEnd"/>
      <w:r w:rsidRPr="00736907">
        <w:rPr>
          <w:lang w:val="en-US"/>
        </w:rPr>
        <w:t xml:space="preserve"> </w:t>
      </w:r>
      <w:r>
        <w:rPr>
          <w:lang w:val="en-US"/>
        </w:rPr>
        <w:t>–</w:t>
      </w:r>
      <w:r w:rsidRPr="00736907">
        <w:rPr>
          <w:lang w:val="en-US"/>
        </w:rPr>
        <w:t xml:space="preserve"> Praha</w:t>
      </w:r>
      <w:r>
        <w:rPr>
          <w:lang w:val="en-US"/>
        </w:rPr>
        <w:t xml:space="preserve">], </w:t>
      </w:r>
      <w:r w:rsidRPr="00736907">
        <w:rPr>
          <w:b/>
          <w:bCs/>
          <w:lang w:val="en-US"/>
        </w:rPr>
        <w:t>E77</w:t>
      </w:r>
      <w:r>
        <w:rPr>
          <w:lang w:val="en-US"/>
        </w:rPr>
        <w:t xml:space="preserve"> [</w:t>
      </w:r>
      <w:r w:rsidRPr="00736907">
        <w:rPr>
          <w:lang w:val="en-US"/>
        </w:rPr>
        <w:t xml:space="preserve">Pskov - Riga - Siauliai - </w:t>
      </w:r>
      <w:proofErr w:type="spellStart"/>
      <w:r w:rsidRPr="00736907">
        <w:rPr>
          <w:lang w:val="en-US"/>
        </w:rPr>
        <w:t>Tolpaki</w:t>
      </w:r>
      <w:proofErr w:type="spellEnd"/>
      <w:r w:rsidRPr="00736907">
        <w:rPr>
          <w:lang w:val="en-US"/>
        </w:rPr>
        <w:t xml:space="preserve"> - Kaliningrad ... </w:t>
      </w:r>
      <w:proofErr w:type="spellStart"/>
      <w:r w:rsidRPr="00736907">
        <w:rPr>
          <w:lang w:val="en-US"/>
        </w:rPr>
        <w:t>Gdańsk</w:t>
      </w:r>
      <w:proofErr w:type="spellEnd"/>
      <w:r w:rsidRPr="00736907">
        <w:rPr>
          <w:lang w:val="en-US"/>
        </w:rPr>
        <w:t xml:space="preserve"> - </w:t>
      </w:r>
      <w:proofErr w:type="spellStart"/>
      <w:r w:rsidRPr="00736907">
        <w:rPr>
          <w:lang w:val="en-US"/>
        </w:rPr>
        <w:t>Elbląg</w:t>
      </w:r>
      <w:proofErr w:type="spellEnd"/>
      <w:r w:rsidRPr="00736907">
        <w:rPr>
          <w:lang w:val="en-US"/>
        </w:rPr>
        <w:t xml:space="preserve"> - Warszawa - Radom - Kraków - </w:t>
      </w:r>
      <w:proofErr w:type="spellStart"/>
      <w:r w:rsidRPr="00736907">
        <w:rPr>
          <w:lang w:val="en-US"/>
        </w:rPr>
        <w:t>Trstená</w:t>
      </w:r>
      <w:proofErr w:type="spellEnd"/>
      <w:r w:rsidRPr="00736907">
        <w:rPr>
          <w:lang w:val="en-US"/>
        </w:rPr>
        <w:t xml:space="preserve"> - </w:t>
      </w:r>
      <w:proofErr w:type="spellStart"/>
      <w:r w:rsidRPr="00736907">
        <w:rPr>
          <w:lang w:val="en-US"/>
        </w:rPr>
        <w:t>Ružomberok</w:t>
      </w:r>
      <w:proofErr w:type="spellEnd"/>
      <w:r w:rsidRPr="00736907">
        <w:rPr>
          <w:lang w:val="en-US"/>
        </w:rPr>
        <w:t xml:space="preserve"> - </w:t>
      </w:r>
      <w:proofErr w:type="spellStart"/>
      <w:r w:rsidRPr="00736907">
        <w:rPr>
          <w:lang w:val="en-US"/>
        </w:rPr>
        <w:t>Zvolen</w:t>
      </w:r>
      <w:proofErr w:type="spellEnd"/>
      <w:r w:rsidRPr="00736907">
        <w:rPr>
          <w:lang w:val="en-US"/>
        </w:rPr>
        <w:t xml:space="preserve"> </w:t>
      </w:r>
      <w:r>
        <w:rPr>
          <w:lang w:val="en-US"/>
        </w:rPr>
        <w:t>–</w:t>
      </w:r>
      <w:r w:rsidRPr="00736907">
        <w:rPr>
          <w:lang w:val="en-US"/>
        </w:rPr>
        <w:t xml:space="preserve"> </w:t>
      </w:r>
      <w:proofErr w:type="gramStart"/>
      <w:r w:rsidRPr="00736907">
        <w:rPr>
          <w:lang w:val="en-US"/>
        </w:rPr>
        <w:t>Budapest</w:t>
      </w:r>
      <w:r>
        <w:rPr>
          <w:lang w:val="en-US"/>
        </w:rPr>
        <w:t>]</w:t>
      </w:r>
      <w:r w:rsidRPr="00736907">
        <w:rPr>
          <w:lang w:val="en-US"/>
        </w:rPr>
        <w:t xml:space="preserve">  </w:t>
      </w:r>
      <w:r>
        <w:t>(</w:t>
      </w:r>
      <w:proofErr w:type="gramEnd"/>
      <w:r>
        <w:t>paaritud numbrid kuni E99)</w:t>
      </w:r>
    </w:p>
    <w:p w14:paraId="0B5EE8B5" w14:textId="77777777" w:rsidR="000A3E10" w:rsidRDefault="000A3E10" w:rsidP="000A3E10">
      <w:pPr>
        <w:rPr>
          <w:b/>
          <w:bCs/>
        </w:rPr>
      </w:pPr>
      <w:r w:rsidRPr="004A022C">
        <w:rPr>
          <w:b/>
          <w:bCs/>
        </w:rPr>
        <w:t>Branch, link and connecting roads:</w:t>
      </w:r>
    </w:p>
    <w:p w14:paraId="5312245F" w14:textId="77777777" w:rsidR="000A3E10" w:rsidRDefault="000A3E10" w:rsidP="000A3E10">
      <w:r>
        <w:t xml:space="preserve">E134...E982 ja E001...E019 ja sealhulgas: </w:t>
      </w:r>
      <w:r w:rsidRPr="004A022C">
        <w:rPr>
          <w:b/>
          <w:bCs/>
        </w:rPr>
        <w:t>E263</w:t>
      </w:r>
      <w:r>
        <w:t xml:space="preserve"> [</w:t>
      </w:r>
      <w:r w:rsidRPr="00722E90">
        <w:rPr>
          <w:color w:val="EE0000"/>
        </w:rPr>
        <w:t>Tallinn-Tartu-Luhamaa</w:t>
      </w:r>
      <w:r>
        <w:t xml:space="preserve">], </w:t>
      </w:r>
      <w:r w:rsidRPr="004A022C">
        <w:rPr>
          <w:b/>
          <w:bCs/>
        </w:rPr>
        <w:t>E264</w:t>
      </w:r>
      <w:r>
        <w:t xml:space="preserve"> [</w:t>
      </w:r>
      <w:r w:rsidRPr="00722E90">
        <w:rPr>
          <w:color w:val="EE0000"/>
        </w:rPr>
        <w:t>Jõhvi-Tartu-Valga-</w:t>
      </w:r>
      <w:r>
        <w:t xml:space="preserve">Valka-Valmiera-Incukalns], </w:t>
      </w:r>
      <w:r w:rsidRPr="004A022C">
        <w:rPr>
          <w:b/>
          <w:bCs/>
        </w:rPr>
        <w:t>E265</w:t>
      </w:r>
      <w:r>
        <w:t xml:space="preserve"> [</w:t>
      </w:r>
      <w:r w:rsidRPr="00722E90">
        <w:rPr>
          <w:color w:val="EE0000"/>
        </w:rPr>
        <w:t>Tallinn-Paldiski</w:t>
      </w:r>
      <w:r>
        <w:t>-Kapellskär]</w:t>
      </w:r>
    </w:p>
    <w:p w14:paraId="7A0A2853" w14:textId="77777777" w:rsidR="000A3E10" w:rsidRDefault="000A3E10" w:rsidP="000A3E10">
      <w:pPr>
        <w:rPr>
          <w:rFonts w:eastAsiaTheme="majorEastAsia" w:cstheme="majorBidi"/>
          <w:i/>
          <w:iCs/>
          <w:color w:val="0F4761" w:themeColor="accent1" w:themeShade="BF"/>
          <w:highlight w:val="yellow"/>
        </w:rPr>
      </w:pPr>
      <w:r>
        <w:rPr>
          <w:highlight w:val="yellow"/>
        </w:rPr>
        <w:br w:type="page"/>
      </w:r>
    </w:p>
    <w:p w14:paraId="72B9F3DB" w14:textId="77777777" w:rsidR="000A3E10" w:rsidRDefault="000A3E10" w:rsidP="000A3E10">
      <w:pPr>
        <w:pStyle w:val="Heading4"/>
      </w:pPr>
      <w:r w:rsidRPr="00A36582">
        <w:rPr>
          <w:highlight w:val="yellow"/>
        </w:rPr>
        <w:lastRenderedPageBreak/>
        <w:t>L1.2 Nõuded nendele teedele on toodud lepingu lisas II</w:t>
      </w:r>
    </w:p>
    <w:p w14:paraId="62CD1490" w14:textId="77777777" w:rsidR="000A3E10" w:rsidRDefault="000A3E10" w:rsidP="000A3E10">
      <w:r>
        <w:t>Erinevatele teekategooriatele ja projekteerimisparameetritele on esitatud nõuded, mis põhiosas on Eestis ka täidetud, kuid probleemseks on ilmselt teepeenraga seonduv osa.</w:t>
      </w:r>
    </w:p>
    <w:p w14:paraId="709AC9D4" w14:textId="77777777" w:rsidR="000A3E10" w:rsidRDefault="000A3E10" w:rsidP="000A3E10">
      <w:r>
        <w:t xml:space="preserve">E-teed jagunevad </w:t>
      </w:r>
      <w:r w:rsidRPr="004A022C">
        <w:rPr>
          <w:b/>
          <w:bCs/>
        </w:rPr>
        <w:t>motorway</w:t>
      </w:r>
      <w:r>
        <w:t xml:space="preserve"> - kiirteed (ei teeninda piirnevaid maaüksusi, kiirtee liikluskorraldus), </w:t>
      </w:r>
      <w:r w:rsidRPr="004A022C">
        <w:rPr>
          <w:b/>
          <w:bCs/>
        </w:rPr>
        <w:t>expressway</w:t>
      </w:r>
      <w:r>
        <w:t xml:space="preserve"> - põhiteed ja </w:t>
      </w:r>
      <w:r w:rsidRPr="004A022C">
        <w:rPr>
          <w:b/>
          <w:bCs/>
        </w:rPr>
        <w:t>ordinary</w:t>
      </w:r>
      <w:r>
        <w:t xml:space="preserve"> - tavateed. Rahvusvahelised teed peaksid olema kas kiirteed või põhiteed. Kiirteid Eestis pole, seega kirjeldame põhiteede nõudeid:</w:t>
      </w:r>
    </w:p>
    <w:p w14:paraId="7D3DAAF8" w14:textId="77777777" w:rsidR="000A3E10" w:rsidRDefault="000A3E10" w:rsidP="000A3E10">
      <w:pPr>
        <w:pStyle w:val="ListParagraph"/>
        <w:numPr>
          <w:ilvl w:val="0"/>
          <w:numId w:val="1"/>
        </w:numPr>
      </w:pPr>
      <w:r>
        <w:t>Teele pääs eritasemesõlmede või kontrollitud ristmike kaudu</w:t>
      </w:r>
    </w:p>
    <w:p w14:paraId="41D4EE18" w14:textId="77777777" w:rsidR="000A3E10" w:rsidRDefault="000A3E10" w:rsidP="000A3E10">
      <w:pPr>
        <w:pStyle w:val="ListParagraph"/>
        <w:numPr>
          <w:ilvl w:val="0"/>
          <w:numId w:val="1"/>
        </w:numPr>
      </w:pPr>
      <w:r>
        <w:t>Peatumine/parkimine sõidurajal on keelatud</w:t>
      </w:r>
    </w:p>
    <w:p w14:paraId="20BEEE41" w14:textId="77777777" w:rsidR="000A3E10" w:rsidRDefault="000A3E10" w:rsidP="000A3E10">
      <w:pPr>
        <w:pStyle w:val="ListParagraph"/>
        <w:numPr>
          <w:ilvl w:val="0"/>
          <w:numId w:val="1"/>
        </w:numPr>
      </w:pPr>
      <w:r>
        <w:t>Ei ristu rööbasteede ega jalgteedega</w:t>
      </w:r>
    </w:p>
    <w:p w14:paraId="57C6FDCB" w14:textId="77777777" w:rsidR="000A3E10" w:rsidRDefault="000A3E10" w:rsidP="000A3E10">
      <w:pPr>
        <w:pStyle w:val="ListParagraph"/>
        <w:numPr>
          <w:ilvl w:val="0"/>
          <w:numId w:val="1"/>
        </w:numPr>
      </w:pPr>
      <w:r>
        <w:t>Projektkiirus vähemalt 60 km/h</w:t>
      </w:r>
    </w:p>
    <w:p w14:paraId="080327D8" w14:textId="77777777" w:rsidR="000A3E10" w:rsidRDefault="000A3E10" w:rsidP="000A3E10">
      <w:pPr>
        <w:pStyle w:val="ListParagraph"/>
        <w:numPr>
          <w:ilvl w:val="0"/>
          <w:numId w:val="1"/>
        </w:numPr>
      </w:pPr>
      <w:r>
        <w:t>Põhisõidurada vähemalt 3,5 m</w:t>
      </w:r>
    </w:p>
    <w:p w14:paraId="7C1C4DCD" w14:textId="77777777" w:rsidR="000A3E10" w:rsidRDefault="000A3E10" w:rsidP="000A3E10">
      <w:pPr>
        <w:pStyle w:val="ListParagraph"/>
        <w:numPr>
          <w:ilvl w:val="0"/>
          <w:numId w:val="1"/>
        </w:numPr>
      </w:pPr>
      <w:r>
        <w:t>Teepeenar vähemalt 2,5 m (kaetud peenar ja tugipeenar kokku)</w:t>
      </w:r>
    </w:p>
    <w:p w14:paraId="64E1A47C" w14:textId="77777777" w:rsidR="000A3E10" w:rsidRDefault="000A3E10" w:rsidP="000A3E10">
      <w:r>
        <w:t>Täpsemalt ei ole siiski piiri tõmmatud, millised trassid peaksid vastama kiirtee, põhitee ja tavatee nõuetele. Uued teed tuleb kavandada vastavuses nõuetega, olemasolevate teede osas on teatud paindlikkus. Kui lahutatud suundadega tee ehitatakse etapiviisiliselt, tuleb tagada möödasõidunähtavus põhilises mahus mõlemale suunale. Kiirtee projektkiiruse vahemik on 80...140 (80 ainult väga erandlik). Põhiteede projektkiirus võib olla 60, 80, 100 või 120 km/h, kusjuures üle 100 km/h kiirused eeldavad lahutatud sõidusuundasid ning 60 km/h tohiks rakendada ainult väga erandlikus olukorras.</w:t>
      </w:r>
    </w:p>
    <w:tbl>
      <w:tblPr>
        <w:tblStyle w:val="TableGrid"/>
        <w:tblW w:w="0" w:type="auto"/>
        <w:tblLook w:val="04A0" w:firstRow="1" w:lastRow="0" w:firstColumn="1" w:lastColumn="0" w:noHBand="0" w:noVBand="1"/>
      </w:tblPr>
      <w:tblGrid>
        <w:gridCol w:w="2916"/>
        <w:gridCol w:w="687"/>
        <w:gridCol w:w="687"/>
        <w:gridCol w:w="804"/>
        <w:gridCol w:w="804"/>
        <w:gridCol w:w="804"/>
      </w:tblGrid>
      <w:tr w:rsidR="000A3E10" w14:paraId="32160170" w14:textId="77777777" w:rsidTr="00F9326B">
        <w:tc>
          <w:tcPr>
            <w:tcW w:w="0" w:type="auto"/>
          </w:tcPr>
          <w:p w14:paraId="3F70225B" w14:textId="77777777" w:rsidR="000A3E10" w:rsidRDefault="000A3E10" w:rsidP="00F9326B">
            <w:r>
              <w:t>Projektkiirus</w:t>
            </w:r>
          </w:p>
        </w:tc>
        <w:tc>
          <w:tcPr>
            <w:tcW w:w="0" w:type="auto"/>
          </w:tcPr>
          <w:p w14:paraId="4BE2D9D2" w14:textId="77777777" w:rsidR="000A3E10" w:rsidRDefault="000A3E10" w:rsidP="00F9326B">
            <w:r>
              <w:t>60</w:t>
            </w:r>
          </w:p>
        </w:tc>
        <w:tc>
          <w:tcPr>
            <w:tcW w:w="0" w:type="auto"/>
          </w:tcPr>
          <w:p w14:paraId="58CB222E" w14:textId="77777777" w:rsidR="000A3E10" w:rsidRDefault="000A3E10" w:rsidP="00F9326B">
            <w:r>
              <w:t>80</w:t>
            </w:r>
          </w:p>
        </w:tc>
        <w:tc>
          <w:tcPr>
            <w:tcW w:w="0" w:type="auto"/>
          </w:tcPr>
          <w:p w14:paraId="03EB3733" w14:textId="77777777" w:rsidR="000A3E10" w:rsidRDefault="000A3E10" w:rsidP="00F9326B">
            <w:r>
              <w:t>100</w:t>
            </w:r>
          </w:p>
        </w:tc>
        <w:tc>
          <w:tcPr>
            <w:tcW w:w="0" w:type="auto"/>
          </w:tcPr>
          <w:p w14:paraId="71B155FF" w14:textId="77777777" w:rsidR="000A3E10" w:rsidRDefault="000A3E10" w:rsidP="00F9326B">
            <w:r>
              <w:t>120</w:t>
            </w:r>
          </w:p>
        </w:tc>
        <w:tc>
          <w:tcPr>
            <w:tcW w:w="0" w:type="auto"/>
          </w:tcPr>
          <w:p w14:paraId="3B3D19DD" w14:textId="77777777" w:rsidR="000A3E10" w:rsidRDefault="000A3E10" w:rsidP="00F9326B">
            <w:r>
              <w:t>140</w:t>
            </w:r>
          </w:p>
        </w:tc>
      </w:tr>
      <w:tr w:rsidR="000A3E10" w14:paraId="363EC107" w14:textId="77777777" w:rsidTr="00F9326B">
        <w:tc>
          <w:tcPr>
            <w:tcW w:w="0" w:type="auto"/>
          </w:tcPr>
          <w:p w14:paraId="1141EA7A" w14:textId="77777777" w:rsidR="000A3E10" w:rsidRDefault="000A3E10" w:rsidP="00F9326B">
            <w:r>
              <w:t>Min plaanikõver 7% viraažiga</w:t>
            </w:r>
          </w:p>
        </w:tc>
        <w:tc>
          <w:tcPr>
            <w:tcW w:w="0" w:type="auto"/>
          </w:tcPr>
          <w:p w14:paraId="28CCF40F" w14:textId="77777777" w:rsidR="000A3E10" w:rsidRDefault="000A3E10" w:rsidP="00F9326B">
            <w:r>
              <w:t>120</w:t>
            </w:r>
          </w:p>
        </w:tc>
        <w:tc>
          <w:tcPr>
            <w:tcW w:w="0" w:type="auto"/>
          </w:tcPr>
          <w:p w14:paraId="59BB9D98" w14:textId="77777777" w:rsidR="000A3E10" w:rsidRDefault="000A3E10" w:rsidP="00F9326B">
            <w:r>
              <w:t>240</w:t>
            </w:r>
          </w:p>
        </w:tc>
        <w:tc>
          <w:tcPr>
            <w:tcW w:w="0" w:type="auto"/>
          </w:tcPr>
          <w:p w14:paraId="0D99A843" w14:textId="77777777" w:rsidR="000A3E10" w:rsidRDefault="000A3E10" w:rsidP="00F9326B">
            <w:r>
              <w:t>450</w:t>
            </w:r>
          </w:p>
        </w:tc>
        <w:tc>
          <w:tcPr>
            <w:tcW w:w="0" w:type="auto"/>
          </w:tcPr>
          <w:p w14:paraId="5AD8D639" w14:textId="77777777" w:rsidR="000A3E10" w:rsidRDefault="000A3E10" w:rsidP="00F9326B">
            <w:r>
              <w:t>650</w:t>
            </w:r>
          </w:p>
        </w:tc>
        <w:tc>
          <w:tcPr>
            <w:tcW w:w="0" w:type="auto"/>
          </w:tcPr>
          <w:p w14:paraId="4B9F3846" w14:textId="77777777" w:rsidR="000A3E10" w:rsidRDefault="000A3E10" w:rsidP="00F9326B">
            <w:r>
              <w:t>1000</w:t>
            </w:r>
          </w:p>
        </w:tc>
      </w:tr>
      <w:tr w:rsidR="000A3E10" w14:paraId="522DEFD7" w14:textId="77777777" w:rsidTr="00F9326B">
        <w:tc>
          <w:tcPr>
            <w:tcW w:w="0" w:type="auto"/>
          </w:tcPr>
          <w:p w14:paraId="207FFD17" w14:textId="77777777" w:rsidR="000A3E10" w:rsidRDefault="000A3E10" w:rsidP="00F9326B">
            <w:r>
              <w:t>Max pikikalle*</w:t>
            </w:r>
          </w:p>
        </w:tc>
        <w:tc>
          <w:tcPr>
            <w:tcW w:w="0" w:type="auto"/>
          </w:tcPr>
          <w:p w14:paraId="691D2322" w14:textId="77777777" w:rsidR="000A3E10" w:rsidRDefault="000A3E10" w:rsidP="00F9326B">
            <w:r>
              <w:t>8</w:t>
            </w:r>
          </w:p>
        </w:tc>
        <w:tc>
          <w:tcPr>
            <w:tcW w:w="0" w:type="auto"/>
          </w:tcPr>
          <w:p w14:paraId="1DD9D001" w14:textId="77777777" w:rsidR="000A3E10" w:rsidRDefault="000A3E10" w:rsidP="00F9326B">
            <w:r>
              <w:t>7</w:t>
            </w:r>
          </w:p>
        </w:tc>
        <w:tc>
          <w:tcPr>
            <w:tcW w:w="0" w:type="auto"/>
          </w:tcPr>
          <w:p w14:paraId="480D8B7B" w14:textId="77777777" w:rsidR="000A3E10" w:rsidRDefault="000A3E10" w:rsidP="00F9326B">
            <w:r>
              <w:t>6</w:t>
            </w:r>
          </w:p>
        </w:tc>
        <w:tc>
          <w:tcPr>
            <w:tcW w:w="0" w:type="auto"/>
          </w:tcPr>
          <w:p w14:paraId="4AACD4B6" w14:textId="77777777" w:rsidR="000A3E10" w:rsidRDefault="000A3E10" w:rsidP="00F9326B">
            <w:r>
              <w:t>5</w:t>
            </w:r>
          </w:p>
        </w:tc>
        <w:tc>
          <w:tcPr>
            <w:tcW w:w="0" w:type="auto"/>
          </w:tcPr>
          <w:p w14:paraId="63691A97" w14:textId="77777777" w:rsidR="000A3E10" w:rsidRDefault="000A3E10" w:rsidP="00F9326B">
            <w:r>
              <w:t>4</w:t>
            </w:r>
          </w:p>
        </w:tc>
      </w:tr>
      <w:tr w:rsidR="000A3E10" w14:paraId="75EA852E" w14:textId="77777777" w:rsidTr="00F9326B">
        <w:tc>
          <w:tcPr>
            <w:tcW w:w="0" w:type="auto"/>
          </w:tcPr>
          <w:p w14:paraId="4756F4E7" w14:textId="77777777" w:rsidR="000A3E10" w:rsidRDefault="000A3E10" w:rsidP="00F9326B">
            <w:r>
              <w:t>Min kumer ühesuunalises</w:t>
            </w:r>
          </w:p>
        </w:tc>
        <w:tc>
          <w:tcPr>
            <w:tcW w:w="0" w:type="auto"/>
          </w:tcPr>
          <w:p w14:paraId="6DFE2E09" w14:textId="77777777" w:rsidR="000A3E10" w:rsidRDefault="000A3E10" w:rsidP="00F9326B">
            <w:r>
              <w:t>1500</w:t>
            </w:r>
          </w:p>
        </w:tc>
        <w:tc>
          <w:tcPr>
            <w:tcW w:w="0" w:type="auto"/>
          </w:tcPr>
          <w:p w14:paraId="4B391398" w14:textId="77777777" w:rsidR="000A3E10" w:rsidRDefault="000A3E10" w:rsidP="00F9326B">
            <w:r>
              <w:t>3000</w:t>
            </w:r>
          </w:p>
        </w:tc>
        <w:tc>
          <w:tcPr>
            <w:tcW w:w="0" w:type="auto"/>
          </w:tcPr>
          <w:p w14:paraId="67B17FAA" w14:textId="77777777" w:rsidR="000A3E10" w:rsidRDefault="000A3E10" w:rsidP="00F9326B">
            <w:r>
              <w:t>6000</w:t>
            </w:r>
          </w:p>
        </w:tc>
        <w:tc>
          <w:tcPr>
            <w:tcW w:w="0" w:type="auto"/>
          </w:tcPr>
          <w:p w14:paraId="1F7B879C" w14:textId="77777777" w:rsidR="000A3E10" w:rsidRDefault="000A3E10" w:rsidP="00F9326B">
            <w:r>
              <w:t>10000</w:t>
            </w:r>
          </w:p>
        </w:tc>
        <w:tc>
          <w:tcPr>
            <w:tcW w:w="0" w:type="auto"/>
          </w:tcPr>
          <w:p w14:paraId="610E1FE5" w14:textId="77777777" w:rsidR="000A3E10" w:rsidRDefault="000A3E10" w:rsidP="00F9326B">
            <w:r>
              <w:t>18000</w:t>
            </w:r>
          </w:p>
        </w:tc>
      </w:tr>
      <w:tr w:rsidR="000A3E10" w14:paraId="0C71A836" w14:textId="77777777" w:rsidTr="00F9326B">
        <w:tc>
          <w:tcPr>
            <w:tcW w:w="0" w:type="auto"/>
          </w:tcPr>
          <w:p w14:paraId="4104329E" w14:textId="77777777" w:rsidR="000A3E10" w:rsidRDefault="000A3E10" w:rsidP="00F9326B">
            <w:r>
              <w:t>Min kumer kahesuunalises</w:t>
            </w:r>
          </w:p>
        </w:tc>
        <w:tc>
          <w:tcPr>
            <w:tcW w:w="0" w:type="auto"/>
          </w:tcPr>
          <w:p w14:paraId="5916A972" w14:textId="77777777" w:rsidR="000A3E10" w:rsidRDefault="000A3E10" w:rsidP="00F9326B">
            <w:r>
              <w:t>1600</w:t>
            </w:r>
          </w:p>
        </w:tc>
        <w:tc>
          <w:tcPr>
            <w:tcW w:w="0" w:type="auto"/>
          </w:tcPr>
          <w:p w14:paraId="556F5048" w14:textId="77777777" w:rsidR="000A3E10" w:rsidRDefault="000A3E10" w:rsidP="00F9326B">
            <w:r>
              <w:t>4500</w:t>
            </w:r>
          </w:p>
        </w:tc>
        <w:tc>
          <w:tcPr>
            <w:tcW w:w="0" w:type="auto"/>
          </w:tcPr>
          <w:p w14:paraId="2A67BA24" w14:textId="77777777" w:rsidR="000A3E10" w:rsidRDefault="000A3E10" w:rsidP="00F9326B">
            <w:r>
              <w:t>10000</w:t>
            </w:r>
          </w:p>
        </w:tc>
        <w:tc>
          <w:tcPr>
            <w:tcW w:w="0" w:type="auto"/>
          </w:tcPr>
          <w:p w14:paraId="685CC4B4" w14:textId="77777777" w:rsidR="000A3E10" w:rsidRDefault="000A3E10" w:rsidP="00F9326B"/>
        </w:tc>
        <w:tc>
          <w:tcPr>
            <w:tcW w:w="0" w:type="auto"/>
          </w:tcPr>
          <w:p w14:paraId="49F30E1F" w14:textId="77777777" w:rsidR="000A3E10" w:rsidRDefault="000A3E10" w:rsidP="00F9326B"/>
        </w:tc>
      </w:tr>
      <w:tr w:rsidR="000A3E10" w14:paraId="67E1ADEE" w14:textId="77777777" w:rsidTr="00F9326B">
        <w:tc>
          <w:tcPr>
            <w:tcW w:w="0" w:type="auto"/>
          </w:tcPr>
          <w:p w14:paraId="7F4ED723" w14:textId="77777777" w:rsidR="000A3E10" w:rsidRDefault="000A3E10" w:rsidP="00F9326B">
            <w:r>
              <w:t>Min nõgus</w:t>
            </w:r>
          </w:p>
        </w:tc>
        <w:tc>
          <w:tcPr>
            <w:tcW w:w="0" w:type="auto"/>
          </w:tcPr>
          <w:p w14:paraId="0EA04A69" w14:textId="77777777" w:rsidR="000A3E10" w:rsidRDefault="000A3E10" w:rsidP="00F9326B">
            <w:r>
              <w:t>1500</w:t>
            </w:r>
          </w:p>
        </w:tc>
        <w:tc>
          <w:tcPr>
            <w:tcW w:w="0" w:type="auto"/>
          </w:tcPr>
          <w:p w14:paraId="365358D0" w14:textId="77777777" w:rsidR="000A3E10" w:rsidRDefault="000A3E10" w:rsidP="00F9326B">
            <w:r>
              <w:t>2000</w:t>
            </w:r>
          </w:p>
        </w:tc>
        <w:tc>
          <w:tcPr>
            <w:tcW w:w="0" w:type="auto"/>
          </w:tcPr>
          <w:p w14:paraId="36830605" w14:textId="77777777" w:rsidR="000A3E10" w:rsidRDefault="000A3E10" w:rsidP="00F9326B">
            <w:r>
              <w:t>3000</w:t>
            </w:r>
          </w:p>
        </w:tc>
        <w:tc>
          <w:tcPr>
            <w:tcW w:w="0" w:type="auto"/>
          </w:tcPr>
          <w:p w14:paraId="5B8ABB37" w14:textId="77777777" w:rsidR="000A3E10" w:rsidRDefault="000A3E10" w:rsidP="00F9326B">
            <w:r>
              <w:t>4200</w:t>
            </w:r>
          </w:p>
        </w:tc>
        <w:tc>
          <w:tcPr>
            <w:tcW w:w="0" w:type="auto"/>
          </w:tcPr>
          <w:p w14:paraId="743D1F2B" w14:textId="77777777" w:rsidR="000A3E10" w:rsidRDefault="000A3E10" w:rsidP="00F9326B">
            <w:r>
              <w:t>6000</w:t>
            </w:r>
          </w:p>
        </w:tc>
      </w:tr>
    </w:tbl>
    <w:p w14:paraId="57DA604C" w14:textId="77777777" w:rsidR="000A3E10" w:rsidRDefault="000A3E10" w:rsidP="000A3E10">
      <w:r>
        <w:t>Meie praktika näitab, et talvetingimustel üle 4% viraaži ei kavandata, kruusateel max 6%</w:t>
      </w:r>
    </w:p>
    <w:p w14:paraId="6FAD1F78" w14:textId="77777777" w:rsidR="000A3E10" w:rsidRDefault="000A3E10" w:rsidP="000A3E10">
      <w:pPr>
        <w:pStyle w:val="ListParagraph"/>
        <w:numPr>
          <w:ilvl w:val="0"/>
          <w:numId w:val="1"/>
        </w:numPr>
      </w:pPr>
      <w:r>
        <w:t>Plaanikõverad eeldavad üleminekukõverate kasutust.</w:t>
      </w:r>
    </w:p>
    <w:p w14:paraId="5F9D32F5" w14:textId="77777777" w:rsidR="000A3E10" w:rsidRDefault="000A3E10" w:rsidP="000A3E10">
      <w:pPr>
        <w:pStyle w:val="ListParagraph"/>
        <w:numPr>
          <w:ilvl w:val="0"/>
          <w:numId w:val="1"/>
        </w:numPr>
      </w:pPr>
      <w:r>
        <w:t>Pikikalde väärtus kiirteel ja põhiteel peaks olema 1% väiksem, max kalde puhul tuleb arvestada aeglaste sõidukite lisarajaga</w:t>
      </w:r>
    </w:p>
    <w:p w14:paraId="2CB8BE4B" w14:textId="77777777" w:rsidR="000A3E10" w:rsidRDefault="000A3E10" w:rsidP="000A3E10">
      <w:pPr>
        <w:pStyle w:val="ListParagraph"/>
        <w:numPr>
          <w:ilvl w:val="0"/>
          <w:numId w:val="1"/>
        </w:numPr>
      </w:pPr>
      <w:r>
        <w:t>Vertikaalkõverate miinimuväärtusi tuleb vältida lähenemisel kriitilistele punktidele (ristmikud, liiklussõlmed, juurdepääsud, tiheasustusalad)</w:t>
      </w:r>
    </w:p>
    <w:p w14:paraId="4668FC31" w14:textId="77777777" w:rsidR="000A3E10" w:rsidRDefault="000A3E10" w:rsidP="000A3E10">
      <w:pPr>
        <w:pStyle w:val="ListParagraph"/>
        <w:numPr>
          <w:ilvl w:val="0"/>
          <w:numId w:val="1"/>
        </w:numPr>
      </w:pPr>
      <w:r>
        <w:t>Resultantkalle ei tohi olla üle 10%.</w:t>
      </w:r>
    </w:p>
    <w:p w14:paraId="449FBF70" w14:textId="77777777" w:rsidR="000A3E10" w:rsidRDefault="000A3E10" w:rsidP="000A3E10">
      <w:r>
        <w:t xml:space="preserve">Nähtavusnõuded. Peatumisnähtavus peab olema tagatud kogu ulatuses. </w:t>
      </w:r>
    </w:p>
    <w:tbl>
      <w:tblPr>
        <w:tblStyle w:val="TableGrid"/>
        <w:tblW w:w="0" w:type="auto"/>
        <w:tblLook w:val="04A0" w:firstRow="1" w:lastRow="0" w:firstColumn="1" w:lastColumn="0" w:noHBand="0" w:noVBand="1"/>
      </w:tblPr>
      <w:tblGrid>
        <w:gridCol w:w="2185"/>
        <w:gridCol w:w="452"/>
        <w:gridCol w:w="569"/>
        <w:gridCol w:w="569"/>
        <w:gridCol w:w="569"/>
        <w:gridCol w:w="569"/>
      </w:tblGrid>
      <w:tr w:rsidR="000A3E10" w14:paraId="660E4DC1" w14:textId="77777777" w:rsidTr="00F9326B">
        <w:tc>
          <w:tcPr>
            <w:tcW w:w="0" w:type="auto"/>
          </w:tcPr>
          <w:p w14:paraId="3F800B26" w14:textId="77777777" w:rsidR="000A3E10" w:rsidRDefault="000A3E10" w:rsidP="00F9326B">
            <w:r>
              <w:t>Projektkiirus</w:t>
            </w:r>
          </w:p>
        </w:tc>
        <w:tc>
          <w:tcPr>
            <w:tcW w:w="0" w:type="auto"/>
          </w:tcPr>
          <w:p w14:paraId="2E387404" w14:textId="77777777" w:rsidR="000A3E10" w:rsidRDefault="000A3E10" w:rsidP="00F9326B">
            <w:r>
              <w:t>60</w:t>
            </w:r>
          </w:p>
        </w:tc>
        <w:tc>
          <w:tcPr>
            <w:tcW w:w="0" w:type="auto"/>
          </w:tcPr>
          <w:p w14:paraId="46C794AB" w14:textId="77777777" w:rsidR="000A3E10" w:rsidRDefault="000A3E10" w:rsidP="00F9326B">
            <w:r>
              <w:t>80</w:t>
            </w:r>
          </w:p>
        </w:tc>
        <w:tc>
          <w:tcPr>
            <w:tcW w:w="0" w:type="auto"/>
          </w:tcPr>
          <w:p w14:paraId="719F4E71" w14:textId="77777777" w:rsidR="000A3E10" w:rsidRDefault="000A3E10" w:rsidP="00F9326B">
            <w:r>
              <w:t>100</w:t>
            </w:r>
          </w:p>
        </w:tc>
        <w:tc>
          <w:tcPr>
            <w:tcW w:w="0" w:type="auto"/>
          </w:tcPr>
          <w:p w14:paraId="07913B97" w14:textId="77777777" w:rsidR="000A3E10" w:rsidRDefault="000A3E10" w:rsidP="00F9326B">
            <w:r>
              <w:t>120</w:t>
            </w:r>
          </w:p>
        </w:tc>
        <w:tc>
          <w:tcPr>
            <w:tcW w:w="0" w:type="auto"/>
          </w:tcPr>
          <w:p w14:paraId="69A7D11E" w14:textId="77777777" w:rsidR="000A3E10" w:rsidRDefault="000A3E10" w:rsidP="00F9326B">
            <w:r>
              <w:t>140</w:t>
            </w:r>
          </w:p>
        </w:tc>
      </w:tr>
      <w:tr w:rsidR="000A3E10" w14:paraId="23AE7FAF" w14:textId="77777777" w:rsidTr="00F9326B">
        <w:tc>
          <w:tcPr>
            <w:tcW w:w="0" w:type="auto"/>
          </w:tcPr>
          <w:p w14:paraId="4DC9C77E" w14:textId="77777777" w:rsidR="000A3E10" w:rsidRDefault="000A3E10" w:rsidP="00F9326B">
            <w:r>
              <w:t>Min peatumiskaugus</w:t>
            </w:r>
          </w:p>
        </w:tc>
        <w:tc>
          <w:tcPr>
            <w:tcW w:w="0" w:type="auto"/>
          </w:tcPr>
          <w:p w14:paraId="50F71992" w14:textId="77777777" w:rsidR="000A3E10" w:rsidRDefault="000A3E10" w:rsidP="00F9326B">
            <w:r>
              <w:t>70</w:t>
            </w:r>
          </w:p>
        </w:tc>
        <w:tc>
          <w:tcPr>
            <w:tcW w:w="0" w:type="auto"/>
          </w:tcPr>
          <w:p w14:paraId="329CC5FD" w14:textId="77777777" w:rsidR="000A3E10" w:rsidRDefault="000A3E10" w:rsidP="00F9326B">
            <w:r>
              <w:t>100</w:t>
            </w:r>
          </w:p>
        </w:tc>
        <w:tc>
          <w:tcPr>
            <w:tcW w:w="0" w:type="auto"/>
          </w:tcPr>
          <w:p w14:paraId="43644D7B" w14:textId="77777777" w:rsidR="000A3E10" w:rsidRDefault="000A3E10" w:rsidP="00F9326B">
            <w:r>
              <w:t>150</w:t>
            </w:r>
          </w:p>
        </w:tc>
        <w:tc>
          <w:tcPr>
            <w:tcW w:w="0" w:type="auto"/>
          </w:tcPr>
          <w:p w14:paraId="79FD47F7" w14:textId="77777777" w:rsidR="000A3E10" w:rsidRDefault="000A3E10" w:rsidP="00F9326B">
            <w:r>
              <w:t>200</w:t>
            </w:r>
          </w:p>
        </w:tc>
        <w:tc>
          <w:tcPr>
            <w:tcW w:w="0" w:type="auto"/>
          </w:tcPr>
          <w:p w14:paraId="04BEB83C" w14:textId="77777777" w:rsidR="000A3E10" w:rsidRDefault="000A3E10" w:rsidP="00F9326B">
            <w:r>
              <w:t>300</w:t>
            </w:r>
          </w:p>
        </w:tc>
      </w:tr>
    </w:tbl>
    <w:p w14:paraId="786524A7" w14:textId="77777777" w:rsidR="000A3E10" w:rsidRDefault="000A3E10" w:rsidP="000A3E10">
      <w:r>
        <w:t>Möödasõidunähtavus tuleb kahesuunalistel teedel tagada võimalikult suures ulatuses ja ühtlaselt.</w:t>
      </w:r>
    </w:p>
    <w:p w14:paraId="5B3C10D4" w14:textId="77777777" w:rsidR="000A3E10" w:rsidRDefault="000A3E10" w:rsidP="000A3E10">
      <w:r>
        <w:t>Rahvusvahelistel teedel (kiirteed ja põhiteed) samasse ristlõikesse ei kavandata kergliiklejatele sõiduradasid.</w:t>
      </w:r>
    </w:p>
    <w:p w14:paraId="2A5E8017" w14:textId="77777777" w:rsidR="000A3E10" w:rsidRDefault="000A3E10" w:rsidP="000A3E10">
      <w:r>
        <w:lastRenderedPageBreak/>
        <w:t>Liiklussõlmede vahelisel sirgel teelõigul peaks sõiduraja laius olema vähemalt 3,5 m. Täiendavad laiendused on vajalikud väikese raadiusega kõveratel. Lisarajad tõusudel tuleb arvestada laiuses 3,0 m kui aeglase sõiduki kiirus langeb nii et see mõjutab teenindustaset.</w:t>
      </w:r>
    </w:p>
    <w:p w14:paraId="0664BB7D" w14:textId="77777777" w:rsidR="000A3E10" w:rsidRDefault="000A3E10" w:rsidP="000A3E10">
      <w:r>
        <w:t>Peenrad koosnevad stabiliseeritud või kattega lõigust (kaetud peenar) ja rohu või kruusaga lõigust (tugipeenar)</w:t>
      </w:r>
    </w:p>
    <w:p w14:paraId="617968AD" w14:textId="77777777" w:rsidR="000A3E10" w:rsidRDefault="000A3E10" w:rsidP="000A3E10">
      <w:r>
        <w:t>Peenra vähim kogulaius on 2,5 m (tavateedel) kuni 3,25 (kiirteedel). Kiirtee puhul peab pidev avariipeatuse rada (kaetud peenar) olema vähemalt 2,5 m (3,0 kui raskeliiklus seda vajab). Tavateedel on kaetud peenra laius vähemalt 0,7 m.</w:t>
      </w:r>
    </w:p>
    <w:p w14:paraId="09B18C84" w14:textId="77777777" w:rsidR="000A3E10" w:rsidRDefault="000A3E10" w:rsidP="000A3E10">
      <w:r>
        <w:t>Eritasandisõlmede rampide laius ühesuunalisel teel vähemalt 6 m, kahesuunalisel 9 m (koos kattemarkeeringu ja peenardega). Vähim rambi siseraadius 50 m, max tõusu kalle 7%, languse kalle 8%, kumer püstkõver 800 m, nõgus püstkõver 400 m.</w:t>
      </w:r>
    </w:p>
    <w:p w14:paraId="7B686B5B" w14:textId="77777777" w:rsidR="000A3E10" w:rsidRDefault="000A3E10" w:rsidP="000A3E10">
      <w:r>
        <w:t>Hargnemisel vähemtähtis haru hargneb alati paremale, liitumisel kõrvalharu liitub paremalt.</w:t>
      </w:r>
    </w:p>
    <w:p w14:paraId="6FEB863B" w14:textId="46D24FD9" w:rsidR="000A3E10" w:rsidRPr="004A022C" w:rsidRDefault="000A3E10" w:rsidP="000A3E10">
      <w:r>
        <w:t>Puhkealad väljaspool liiklussõlmi väärtuslikel maastikel on eelistatud (liiklussõlmedes ei puhka, seal saab küll teenindus olla aga mingit puhkamist soodustavat maastikku pole).</w:t>
      </w:r>
    </w:p>
    <w:p w14:paraId="2E76D47F" w14:textId="77777777" w:rsidR="007B30F8" w:rsidRDefault="007B30F8"/>
    <w:sectPr w:rsidR="007B3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A10D2"/>
    <w:multiLevelType w:val="hybridMultilevel"/>
    <w:tmpl w:val="DF3A6032"/>
    <w:lvl w:ilvl="0" w:tplc="14462278">
      <w:start w:val="36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486FA2"/>
    <w:multiLevelType w:val="hybridMultilevel"/>
    <w:tmpl w:val="C6BA76AE"/>
    <w:lvl w:ilvl="0" w:tplc="13F01C80">
      <w:start w:val="1"/>
      <w:numFmt w:val="lowerLetter"/>
      <w:lvlText w:val="%1)"/>
      <w:lvlJc w:val="left"/>
      <w:pPr>
        <w:ind w:left="720" w:hanging="360"/>
      </w:pPr>
      <w:rPr>
        <w:rFonts w:eastAsia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9E66C8"/>
    <w:multiLevelType w:val="hybridMultilevel"/>
    <w:tmpl w:val="40A8BC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5814086">
    <w:abstractNumId w:val="0"/>
  </w:num>
  <w:num w:numId="2" w16cid:durableId="1858351637">
    <w:abstractNumId w:val="1"/>
  </w:num>
  <w:num w:numId="3" w16cid:durableId="1906448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10"/>
    <w:rsid w:val="000550C4"/>
    <w:rsid w:val="000A3E10"/>
    <w:rsid w:val="000E7CE0"/>
    <w:rsid w:val="002A016B"/>
    <w:rsid w:val="00420BBD"/>
    <w:rsid w:val="00606D0E"/>
    <w:rsid w:val="00644C77"/>
    <w:rsid w:val="0069653B"/>
    <w:rsid w:val="006F5BBC"/>
    <w:rsid w:val="00722E90"/>
    <w:rsid w:val="007B30F8"/>
    <w:rsid w:val="009A38F7"/>
    <w:rsid w:val="00BC0D2F"/>
    <w:rsid w:val="00C02EC0"/>
    <w:rsid w:val="00C6412F"/>
    <w:rsid w:val="00F90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E436"/>
  <w15:chartTrackingRefBased/>
  <w15:docId w15:val="{128E2CA4-D1D6-4D89-B38B-D9280E94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E10"/>
    <w:rPr>
      <w:lang w:val="et-EE"/>
    </w:rPr>
  </w:style>
  <w:style w:type="paragraph" w:styleId="Heading1">
    <w:name w:val="heading 1"/>
    <w:basedOn w:val="Normal"/>
    <w:next w:val="Normal"/>
    <w:link w:val="Heading1Char"/>
    <w:uiPriority w:val="9"/>
    <w:qFormat/>
    <w:rsid w:val="000A3E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3E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A3E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A3E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3E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3E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E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E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E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E10"/>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0A3E10"/>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rsid w:val="000A3E10"/>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rsid w:val="000A3E10"/>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0A3E10"/>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0A3E10"/>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0A3E10"/>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0A3E10"/>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0A3E10"/>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0A3E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E10"/>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0A3E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E10"/>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0A3E10"/>
    <w:pPr>
      <w:spacing w:before="160"/>
      <w:jc w:val="center"/>
    </w:pPr>
    <w:rPr>
      <w:i/>
      <w:iCs/>
      <w:color w:val="404040" w:themeColor="text1" w:themeTint="BF"/>
    </w:rPr>
  </w:style>
  <w:style w:type="character" w:customStyle="1" w:styleId="QuoteChar">
    <w:name w:val="Quote Char"/>
    <w:basedOn w:val="DefaultParagraphFont"/>
    <w:link w:val="Quote"/>
    <w:uiPriority w:val="29"/>
    <w:rsid w:val="000A3E10"/>
    <w:rPr>
      <w:i/>
      <w:iCs/>
      <w:color w:val="404040" w:themeColor="text1" w:themeTint="BF"/>
      <w:lang w:val="et-EE"/>
    </w:rPr>
  </w:style>
  <w:style w:type="paragraph" w:styleId="ListParagraph">
    <w:name w:val="List Paragraph"/>
    <w:basedOn w:val="Normal"/>
    <w:uiPriority w:val="34"/>
    <w:qFormat/>
    <w:rsid w:val="000A3E10"/>
    <w:pPr>
      <w:ind w:left="720"/>
      <w:contextualSpacing/>
    </w:pPr>
  </w:style>
  <w:style w:type="character" w:styleId="IntenseEmphasis">
    <w:name w:val="Intense Emphasis"/>
    <w:basedOn w:val="DefaultParagraphFont"/>
    <w:uiPriority w:val="21"/>
    <w:qFormat/>
    <w:rsid w:val="000A3E10"/>
    <w:rPr>
      <w:i/>
      <w:iCs/>
      <w:color w:val="0F4761" w:themeColor="accent1" w:themeShade="BF"/>
    </w:rPr>
  </w:style>
  <w:style w:type="paragraph" w:styleId="IntenseQuote">
    <w:name w:val="Intense Quote"/>
    <w:basedOn w:val="Normal"/>
    <w:next w:val="Normal"/>
    <w:link w:val="IntenseQuoteChar"/>
    <w:uiPriority w:val="30"/>
    <w:qFormat/>
    <w:rsid w:val="000A3E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3E10"/>
    <w:rPr>
      <w:i/>
      <w:iCs/>
      <w:color w:val="0F4761" w:themeColor="accent1" w:themeShade="BF"/>
      <w:lang w:val="et-EE"/>
    </w:rPr>
  </w:style>
  <w:style w:type="character" w:styleId="IntenseReference">
    <w:name w:val="Intense Reference"/>
    <w:basedOn w:val="DefaultParagraphFont"/>
    <w:uiPriority w:val="32"/>
    <w:qFormat/>
    <w:rsid w:val="000A3E10"/>
    <w:rPr>
      <w:b/>
      <w:bCs/>
      <w:smallCaps/>
      <w:color w:val="0F4761" w:themeColor="accent1" w:themeShade="BF"/>
      <w:spacing w:val="5"/>
    </w:rPr>
  </w:style>
  <w:style w:type="table" w:styleId="TableGrid">
    <w:name w:val="Table Grid"/>
    <w:basedOn w:val="TableNormal"/>
    <w:uiPriority w:val="39"/>
    <w:rsid w:val="000A3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841</Words>
  <Characters>4796</Characters>
  <Application>Microsoft Office Word</Application>
  <DocSecurity>0</DocSecurity>
  <Lines>39</Lines>
  <Paragraphs>11</Paragraphs>
  <ScaleCrop>false</ScaleCrop>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 Kendra</dc:creator>
  <cp:keywords/>
  <dc:description/>
  <cp:lastModifiedBy>Ain Kendra</cp:lastModifiedBy>
  <cp:revision>2</cp:revision>
  <dcterms:created xsi:type="dcterms:W3CDTF">2025-06-30T13:18:00Z</dcterms:created>
  <dcterms:modified xsi:type="dcterms:W3CDTF">2025-07-29T10:53:00Z</dcterms:modified>
</cp:coreProperties>
</file>